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Godišnje izvješće Službenika za zaštitu podataka (DPO)</w:t>
      </w:r>
    </w:p>
    <w:p>
      <w:r>
        <w:t>Organizacija: Kompas d.o.o.</w:t>
      </w:r>
    </w:p>
    <w:p>
      <w:r>
        <w:t>Razdoblje: 1. 1. 2025. – 31. 12. 2025.</w:t>
      </w:r>
    </w:p>
    <w:p>
      <w:r>
        <w:t>Službenik za zaštitu podataka (DPO): Daniel Bara, PhD</w:t>
      </w:r>
    </w:p>
    <w:p>
      <w:r>
        <w:t>Datum podnošenja: 15. siječnja 2026.</w:t>
      </w:r>
    </w:p>
    <w:p>
      <w:r>
        <w:t>Primatelj: Uprava društva Kompas d.o.o.</w:t>
      </w:r>
    </w:p>
    <w:p>
      <w:pPr>
        <w:pStyle w:val="Heading2"/>
      </w:pPr>
      <w:r>
        <w:t>1. Sažetak i izvršni pregled</w:t>
      </w:r>
    </w:p>
    <w:p>
      <w:r>
        <w:t>Službenik za zaštitu podataka (DPO) podnosi godišnje izvješće Upravi o provedbi zahtjeva GDPR-a i održavanju sustava zaštite osobnih podataka. Sustav je stabilan i održavan tijekom 2025. godine. Provedene su interne kontrole, edukacije DPR-ova i ažurirane evidencije. Nije bilo stvarnih povreda osobnih podataka koje bi zahtijevale prijavu AZOP-u.</w:t>
      </w:r>
    </w:p>
    <w:p>
      <w:pPr>
        <w:pStyle w:val="Heading2"/>
      </w:pPr>
      <w:r>
        <w:t>2. Aktivnosti provedene tijekom godine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Aktivnost</w:t>
            </w:r>
          </w:p>
        </w:tc>
        <w:tc>
          <w:tcPr>
            <w:tcW w:type="dxa" w:w="2880"/>
          </w:tcPr>
          <w:p>
            <w:r>
              <w:t>Broj / Opis</w:t>
            </w:r>
          </w:p>
        </w:tc>
        <w:tc>
          <w:tcPr>
            <w:tcW w:type="dxa" w:w="2880"/>
          </w:tcPr>
          <w:p>
            <w:r>
              <w:t>Napomena</w:t>
            </w:r>
          </w:p>
        </w:tc>
      </w:tr>
      <w:tr>
        <w:tc>
          <w:tcPr>
            <w:tcW w:type="dxa" w:w="2880"/>
          </w:tcPr>
          <w:p>
            <w:r>
              <w:t>Ažuriranje ROPA</w:t>
            </w:r>
          </w:p>
        </w:tc>
        <w:tc>
          <w:tcPr>
            <w:tcW w:type="dxa" w:w="2880"/>
          </w:tcPr>
          <w:p>
            <w:r>
              <w:t>5 odjela (HR, IT, Marketing, Operativa, Financije)</w:t>
            </w:r>
          </w:p>
        </w:tc>
        <w:tc>
          <w:tcPr>
            <w:tcW w:type="dxa" w:w="2880"/>
          </w:tcPr>
          <w:p>
            <w:r>
              <w:t>Dodane nove obrade (CRM kampanje, online check-in)</w:t>
            </w:r>
          </w:p>
        </w:tc>
      </w:tr>
      <w:tr>
        <w:tc>
          <w:tcPr>
            <w:tcW w:type="dxa" w:w="2880"/>
          </w:tcPr>
          <w:p>
            <w:r>
              <w:t>SAR zahtjevi</w:t>
            </w:r>
          </w:p>
        </w:tc>
        <w:tc>
          <w:tcPr>
            <w:tcW w:type="dxa" w:w="2880"/>
          </w:tcPr>
          <w:p>
            <w:r>
              <w:t>3 zaprimljena zahtjeva (2 pristup, 1 brisanje)</w:t>
            </w:r>
          </w:p>
        </w:tc>
        <w:tc>
          <w:tcPr>
            <w:tcW w:type="dxa" w:w="2880"/>
          </w:tcPr>
          <w:p>
            <w:r>
              <w:t>Svi riješeni u roku &lt;30 dana</w:t>
            </w:r>
          </w:p>
        </w:tc>
      </w:tr>
      <w:tr>
        <w:tc>
          <w:tcPr>
            <w:tcW w:type="dxa" w:w="2880"/>
          </w:tcPr>
          <w:p>
            <w:r>
              <w:t>Incidenti / povrede</w:t>
            </w:r>
          </w:p>
        </w:tc>
        <w:tc>
          <w:tcPr>
            <w:tcW w:type="dxa" w:w="2880"/>
          </w:tcPr>
          <w:p>
            <w:r>
              <w:t>0 stvarnih povreda / 2 simulacije</w:t>
            </w:r>
          </w:p>
        </w:tc>
        <w:tc>
          <w:tcPr>
            <w:tcW w:type="dxa" w:w="2880"/>
          </w:tcPr>
          <w:p>
            <w:r>
              <w:t>Evidentirano u Incident logu</w:t>
            </w:r>
          </w:p>
        </w:tc>
      </w:tr>
      <w:tr>
        <w:tc>
          <w:tcPr>
            <w:tcW w:type="dxa" w:w="2880"/>
          </w:tcPr>
          <w:p>
            <w:r>
              <w:t>DPA ugovori</w:t>
            </w:r>
          </w:p>
        </w:tc>
        <w:tc>
          <w:tcPr>
            <w:tcW w:type="dxa" w:w="2880"/>
          </w:tcPr>
          <w:p>
            <w:r>
              <w:t>7 DPA ažurirano, 1 novi (MyRent Addendum)</w:t>
            </w:r>
          </w:p>
        </w:tc>
        <w:tc>
          <w:tcPr>
            <w:tcW w:type="dxa" w:w="2880"/>
          </w:tcPr>
          <w:p>
            <w:r>
              <w:t>Potpuna pokrivenost procesora</w:t>
            </w:r>
          </w:p>
        </w:tc>
      </w:tr>
      <w:tr>
        <w:tc>
          <w:tcPr>
            <w:tcW w:type="dxa" w:w="2880"/>
          </w:tcPr>
          <w:p>
            <w:r>
              <w:t>Edukacije i radionice</w:t>
            </w:r>
          </w:p>
        </w:tc>
        <w:tc>
          <w:tcPr>
            <w:tcW w:type="dxa" w:w="2880"/>
          </w:tcPr>
          <w:p>
            <w:r>
              <w:t>5 radionica po odjelima</w:t>
            </w:r>
          </w:p>
        </w:tc>
        <w:tc>
          <w:tcPr>
            <w:tcW w:type="dxa" w:w="2880"/>
          </w:tcPr>
          <w:p>
            <w:r>
              <w:t>100% prisustvo DPR-ova</w:t>
            </w:r>
          </w:p>
        </w:tc>
      </w:tr>
      <w:tr>
        <w:tc>
          <w:tcPr>
            <w:tcW w:type="dxa" w:w="2880"/>
          </w:tcPr>
          <w:p>
            <w:r>
              <w:t>Interna revizija GDPR sustava</w:t>
            </w:r>
          </w:p>
        </w:tc>
        <w:tc>
          <w:tcPr>
            <w:tcW w:type="dxa" w:w="2880"/>
          </w:tcPr>
          <w:p>
            <w:r>
              <w:t>provedena 10/2025</w:t>
            </w:r>
          </w:p>
        </w:tc>
        <w:tc>
          <w:tcPr>
            <w:tcW w:type="dxa" w:w="2880"/>
          </w:tcPr>
          <w:p>
            <w:r>
              <w:t>U skladu s Planom nadzora</w:t>
            </w:r>
          </w:p>
        </w:tc>
      </w:tr>
      <w:tr>
        <w:tc>
          <w:tcPr>
            <w:tcW w:type="dxa" w:w="2880"/>
          </w:tcPr>
          <w:p>
            <w:r>
              <w:t>Pregled politike zadržavanja</w:t>
            </w:r>
          </w:p>
        </w:tc>
        <w:tc>
          <w:tcPr>
            <w:tcW w:type="dxa" w:w="2880"/>
          </w:tcPr>
          <w:p>
            <w:r>
              <w:t>ažurirana v1.1 (10/2025)</w:t>
            </w:r>
          </w:p>
        </w:tc>
        <w:tc>
          <w:tcPr>
            <w:tcW w:type="dxa" w:w="2880"/>
          </w:tcPr>
          <w:p>
            <w:r>
              <w:t>Dodane stavke za turističke procese</w:t>
            </w:r>
          </w:p>
        </w:tc>
      </w:tr>
      <w:tr>
        <w:tc>
          <w:tcPr>
            <w:tcW w:type="dxa" w:w="2880"/>
          </w:tcPr>
          <w:p>
            <w:r>
              <w:t>Komunikacija s AZOP-om</w:t>
            </w:r>
          </w:p>
        </w:tc>
        <w:tc>
          <w:tcPr>
            <w:tcW w:type="dxa" w:w="2880"/>
          </w:tcPr>
          <w:p>
            <w:r>
              <w:t>nema formalnih upita</w:t>
            </w:r>
          </w:p>
        </w:tc>
        <w:tc>
          <w:tcPr>
            <w:tcW w:type="dxa" w:w="2880"/>
          </w:tcPr>
          <w:p>
            <w:r>
              <w:t>n/a</w:t>
            </w:r>
          </w:p>
        </w:tc>
      </w:tr>
    </w:tbl>
    <w:p>
      <w:pPr>
        <w:pStyle w:val="Heading2"/>
      </w:pPr>
      <w:r>
        <w:t>3. Ključni nalazi i procjena usklađenosti</w:t>
      </w:r>
    </w:p>
    <w:p>
      <w:r>
        <w:t>• Organizacijska razina: Sustav dokumentiran i integriran s ISMS politikama.</w:t>
        <w:br/>
        <w:t>• Operativna razina: DPR-ovi aktivni, prijave incidenata i SAR zahtjeva uredne.</w:t>
        <w:br/>
        <w:t>• Tehnička razina: Backup, brisanje i log politike uvedene; preporučuje se automatizacija brisanja u DMS-u.</w:t>
        <w:br/>
        <w:t>• Pravna razina: Svi DPA aneksi potpisani; nema prijenosa u nesigurne treće zemlje.</w:t>
        <w:br/>
        <w:t>• Rizik po prava ispitanika: Nizak.</w:t>
      </w:r>
    </w:p>
    <w:p>
      <w:pPr>
        <w:pStyle w:val="Heading2"/>
      </w:pPr>
      <w:r>
        <w:t>4. Korektivne i preventivne mjere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Mjera</w:t>
            </w:r>
          </w:p>
        </w:tc>
        <w:tc>
          <w:tcPr>
            <w:tcW w:type="dxa" w:w="2160"/>
          </w:tcPr>
          <w:p>
            <w:r>
              <w:t>Odgovorna osoba</w:t>
            </w:r>
          </w:p>
        </w:tc>
        <w:tc>
          <w:tcPr>
            <w:tcW w:type="dxa" w:w="2160"/>
          </w:tcPr>
          <w:p>
            <w:r>
              <w:t>Rok</w:t>
            </w:r>
          </w:p>
        </w:tc>
        <w:tc>
          <w:tcPr>
            <w:tcW w:type="dxa" w:w="2160"/>
          </w:tcPr>
          <w:p>
            <w:r>
              <w:t>Status</w:t>
            </w:r>
          </w:p>
        </w:tc>
      </w:tr>
      <w:tr>
        <w:tc>
          <w:tcPr>
            <w:tcW w:type="dxa" w:w="2160"/>
          </w:tcPr>
          <w:p>
            <w:r>
              <w:t>Automatizacija retention brisanja u CRM sustavu</w:t>
            </w:r>
          </w:p>
        </w:tc>
        <w:tc>
          <w:tcPr>
            <w:tcW w:type="dxa" w:w="2160"/>
          </w:tcPr>
          <w:p>
            <w:r>
              <w:t>IT odjel</w:t>
            </w:r>
          </w:p>
        </w:tc>
        <w:tc>
          <w:tcPr>
            <w:tcW w:type="dxa" w:w="2160"/>
          </w:tcPr>
          <w:p>
            <w:r>
              <w:t>31.3.2026.</w:t>
            </w:r>
          </w:p>
        </w:tc>
        <w:tc>
          <w:tcPr>
            <w:tcW w:type="dxa" w:w="2160"/>
          </w:tcPr>
          <w:p>
            <w:r>
              <w:t>Planirano</w:t>
            </w:r>
          </w:p>
        </w:tc>
      </w:tr>
      <w:tr>
        <w:tc>
          <w:tcPr>
            <w:tcW w:type="dxa" w:w="2160"/>
          </w:tcPr>
          <w:p>
            <w:r>
              <w:t>Edukacija novih DPR-ova (2 osobe)</w:t>
            </w:r>
          </w:p>
        </w:tc>
        <w:tc>
          <w:tcPr>
            <w:tcW w:type="dxa" w:w="2160"/>
          </w:tcPr>
          <w:p>
            <w:r>
              <w:t>DPO</w:t>
            </w:r>
          </w:p>
        </w:tc>
        <w:tc>
          <w:tcPr>
            <w:tcW w:type="dxa" w:w="2160"/>
          </w:tcPr>
          <w:p>
            <w:r>
              <w:t>15.4.2026.</w:t>
            </w:r>
          </w:p>
        </w:tc>
        <w:tc>
          <w:tcPr>
            <w:tcW w:type="dxa" w:w="2160"/>
          </w:tcPr>
          <w:p>
            <w:r>
              <w:t>Planirano</w:t>
            </w:r>
          </w:p>
        </w:tc>
      </w:tr>
      <w:tr>
        <w:tc>
          <w:tcPr>
            <w:tcW w:type="dxa" w:w="2160"/>
          </w:tcPr>
          <w:p>
            <w:r>
              <w:t>Revizija svih marketinških privola (CMP sustav)</w:t>
            </w:r>
          </w:p>
        </w:tc>
        <w:tc>
          <w:tcPr>
            <w:tcW w:type="dxa" w:w="2160"/>
          </w:tcPr>
          <w:p>
            <w:r>
              <w:t>Marketing odjel</w:t>
            </w:r>
          </w:p>
        </w:tc>
        <w:tc>
          <w:tcPr>
            <w:tcW w:type="dxa" w:w="2160"/>
          </w:tcPr>
          <w:p>
            <w:r>
              <w:t>31.5.2026.</w:t>
            </w:r>
          </w:p>
        </w:tc>
        <w:tc>
          <w:tcPr>
            <w:tcW w:type="dxa" w:w="2160"/>
          </w:tcPr>
          <w:p>
            <w:r>
              <w:t>U tijeku</w:t>
            </w:r>
          </w:p>
        </w:tc>
      </w:tr>
      <w:tr>
        <w:tc>
          <w:tcPr>
            <w:tcW w:type="dxa" w:w="2160"/>
          </w:tcPr>
          <w:p>
            <w:r>
              <w:t>Testiranje obavješćivanja ispitanika kod povrede</w:t>
            </w:r>
          </w:p>
        </w:tc>
        <w:tc>
          <w:tcPr>
            <w:tcW w:type="dxa" w:w="2160"/>
          </w:tcPr>
          <w:p>
            <w:r>
              <w:t>DPO + HR</w:t>
            </w:r>
          </w:p>
        </w:tc>
        <w:tc>
          <w:tcPr>
            <w:tcW w:type="dxa" w:w="2160"/>
          </w:tcPr>
          <w:p>
            <w:r>
              <w:t>30.6.2026.</w:t>
            </w:r>
          </w:p>
        </w:tc>
        <w:tc>
          <w:tcPr>
            <w:tcW w:type="dxa" w:w="2160"/>
          </w:tcPr>
          <w:p>
            <w:r>
              <w:t>Planirano</w:t>
            </w:r>
          </w:p>
        </w:tc>
      </w:tr>
    </w:tbl>
    <w:p>
      <w:pPr>
        <w:pStyle w:val="Heading2"/>
      </w:pPr>
      <w:r>
        <w:t>5. Zaključak i preporuke</w:t>
      </w:r>
    </w:p>
    <w:p>
      <w:r>
        <w:t>Sustav zaštite osobnih podataka Kompas d.o.o. funkcionira u skladu s GDPR-om. Preporučuje se nastavak redovitih godišnjih provjera, dodatna edukacija DPR-ova i automatizacija tehničkih mjera. Upravi se preporučuje da ovo izvješće uključi kao stalnu točku na sjednici Uprave i evidentira njegovo usvajanje zapisnički.</w:t>
      </w:r>
    </w:p>
    <w:p>
      <w:pPr>
        <w:pStyle w:val="Heading2"/>
      </w:pPr>
      <w:r>
        <w:t>6. Prilozi (Annex)</w:t>
      </w:r>
    </w:p>
    <w:p>
      <w:r>
        <w:t>1. Izvadak iz SAR log (3 zahtjeva – anonimizirano)</w:t>
        <w:br/>
        <w:t>2. Izvadak iz Incident log (2 simulacije)</w:t>
        <w:br/>
        <w:t>3. Plan nadzora 2025 + checklist po odjelima</w:t>
        <w:br/>
        <w:t>4. Evidencija edukacija i potpisi sudionika</w:t>
      </w:r>
    </w:p>
    <w:p>
      <w:r>
        <w:br/>
        <w:br/>
        <w:t>___________________________</w:t>
        <w:br/>
        <w:t>Daniel Bara, PhD</w:t>
        <w:br/>
        <w:t>Službenik za zaštitu podataka (DPO)</w:t>
        <w:br/>
        <w:t>Datum: 15. siječnja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